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rFonts w:ascii="Calibri" w:cs="Calibri" w:eastAsia="Calibri" w:hAnsi="Calibri"/>
          <w:b/>
          <w:bCs/>
          <w:color w:val="1F3864"/>
          <w:sz w:val="36"/>
          <w:szCs w:val="36"/>
        </w:rPr>
        <w:t xml:space="preserve">KIRAN AMBADIPUDI</w:t>
      </w:r>
    </w:p>
    <w:p>
      <w:pPr>
        <w:spacing w:after="40"/>
        <w:jc w:val="center"/>
      </w:pPr>
      <w:r>
        <w:rPr>
          <w:rFonts w:ascii="Calibri" w:cs="Calibri" w:eastAsia="Calibri" w:hAnsi="Calibri"/>
          <w:color w:val="333333"/>
          <w:sz w:val="19"/>
          <w:szCs w:val="19"/>
        </w:rPr>
        <w:t xml:space="preserve">Duluth, GA 30097  |  404-245-9778  |  kambadipudi@yahoo.com</w:t>
      </w:r>
    </w:p>
    <w:p>
      <w:pPr>
        <w:pBdr>
          <w:bottom w:val="single" w:color="1F3864" w:sz="6" w:space="1"/>
        </w:pBdr>
        <w:spacing w:after="120"/>
      </w:pPr>
    </w:p>
    <w:p>
      <w:pPr>
        <w:pBdr>
          <w:bottom w:val="single" w:color="1F3864" w:sz="4" w:space="2"/>
        </w:pBdr>
        <w:spacing w:after="60" w:before="220"/>
      </w:pPr>
      <w:r>
        <w:rPr>
          <w:rFonts w:ascii="Calibri" w:cs="Calibri" w:eastAsia="Calibri" w:hAnsi="Calibri"/>
          <w:b/>
          <w:bCs/>
          <w:color w:val="1F3864"/>
          <w:sz w:val="21"/>
          <w:szCs w:val="21"/>
        </w:rPr>
        <w:t xml:space="preserve">PROFESSIONAL SUMMARY</w:t>
      </w:r>
    </w:p>
    <w:p>
      <w:pPr>
        <w:spacing w:after="100"/>
      </w:pPr>
      <w:r>
        <w:rPr>
          <w:rFonts w:ascii="Calibri" w:cs="Calibri" w:eastAsia="Calibri" w:hAnsi="Calibri"/>
          <w:color w:val="333333"/>
          <w:sz w:val="20"/>
          <w:szCs w:val="20"/>
        </w:rPr>
        <w:t xml:space="preserve">Detail-oriented Accounting and Bookkeeping professional with 5+ years of experience managing general ledger reconciliations, accounts payable/receivable, payroll processing, and month-end close support in QuickBooks. Skilled at investigating and resolving account discrepancies, preparing accurate financial documentation, and coordinating with CPAs and outside accountants on tax filings. Recognized for accuracy, confidentiality, and dependable follow-through in fast-paced office and financial environments.</w:t>
      </w:r>
    </w:p>
    <w:p>
      <w:pPr>
        <w:pBdr>
          <w:bottom w:val="single" w:color="1F3864" w:sz="4" w:space="2"/>
        </w:pBdr>
        <w:spacing w:after="60" w:before="220"/>
      </w:pPr>
      <w:r>
        <w:rPr>
          <w:rFonts w:ascii="Calibri" w:cs="Calibri" w:eastAsia="Calibri" w:hAnsi="Calibri"/>
          <w:b/>
          <w:bCs/>
          <w:color w:val="1F3864"/>
          <w:sz w:val="21"/>
          <w:szCs w:val="21"/>
        </w:rPr>
        <w:t xml:space="preserve">CORE COMPETENCIES</w:t>
      </w:r>
    </w:p>
    <w:tbl>
      <w:tblPr>
        <w:tblW w:type="dxa" w:w="9740"/>
        <w:tblBorders>
          <w:top w:val="none" w:color="FFFFFF" w:sz="0"/>
          <w:left w:val="none" w:color="FFFFFF" w:sz="0"/>
          <w:bottom w:val="none" w:color="FFFFFF" w:sz="0"/>
          <w:right w:val="none" w:color="FFFFFF" w:sz="0"/>
          <w:insideH w:val="none" w:color="FFFFFF" w:sz="0"/>
          <w:insideV w:val="none" w:color="FFFFFF" w:sz="0"/>
        </w:tblBorders>
      </w:tblPr>
      <w:tblGrid>
        <w:gridCol w:w="4870"/>
        <w:gridCol w:w="4870"/>
      </w:tblGrid>
      <w:tr>
        <w:tc>
          <w:tcPr>
            <w:tcW w:type="dxa" w:w="4870"/>
            <w:shd w:fill="FFFFFF" w:val="clear"/>
            <w:tcMar>
              <w:top w:type="dxa" w:w="40"/>
              <w:left w:type="dxa" w:w="60"/>
              <w:bottom w:type="dxa" w:w="40"/>
              <w:right w:type="dxa" w:w="60"/>
            </w:tcMar>
          </w:tcPr>
          <w:p>
            <w:pPr>
              <w:pStyle w:val="ListParagraph"/>
              <w:numPr>
                <w:ilvl w:val="0"/>
                <w:numId w:val="2"/>
              </w:numPr>
            </w:pPr>
            <w:r>
              <w:rPr>
                <w:rFonts w:ascii="Calibri" w:cs="Calibri" w:eastAsia="Calibri" w:hAnsi="Calibri"/>
                <w:color w:val="333333"/>
                <w:sz w:val="20"/>
                <w:szCs w:val="20"/>
              </w:rPr>
              <w:t xml:space="preserve">General Ledger Reconciliations</w:t>
            </w:r>
          </w:p>
        </w:tc>
        <w:tc>
          <w:tcPr>
            <w:tcW w:type="dxa" w:w="4870"/>
            <w:shd w:fill="FFFFFF" w:val="clear"/>
            <w:tcMar>
              <w:top w:type="dxa" w:w="40"/>
              <w:left w:type="dxa" w:w="60"/>
              <w:bottom w:type="dxa" w:w="40"/>
              <w:right w:type="dxa" w:w="60"/>
            </w:tcMar>
          </w:tcPr>
          <w:p>
            <w:pPr>
              <w:pStyle w:val="ListParagraph"/>
              <w:numPr>
                <w:ilvl w:val="0"/>
                <w:numId w:val="2"/>
              </w:numPr>
            </w:pPr>
            <w:r>
              <w:rPr>
                <w:rFonts w:ascii="Calibri" w:cs="Calibri" w:eastAsia="Calibri" w:hAnsi="Calibri"/>
                <w:color w:val="333333"/>
                <w:sz w:val="20"/>
                <w:szCs w:val="20"/>
              </w:rPr>
              <w:t xml:space="preserve">Accounts Payable &amp; Receivable</w:t>
            </w:r>
          </w:p>
        </w:tc>
      </w:tr>
      <w:tr>
        <w:tc>
          <w:tcPr>
            <w:tcW w:type="dxa" w:w="4870"/>
            <w:shd w:fill="FFFFFF" w:val="clear"/>
            <w:tcMar>
              <w:top w:type="dxa" w:w="40"/>
              <w:left w:type="dxa" w:w="60"/>
              <w:bottom w:type="dxa" w:w="40"/>
              <w:right w:type="dxa" w:w="60"/>
            </w:tcMar>
          </w:tcPr>
          <w:p>
            <w:pPr>
              <w:pStyle w:val="ListParagraph"/>
              <w:numPr>
                <w:ilvl w:val="0"/>
                <w:numId w:val="2"/>
              </w:numPr>
            </w:pPr>
            <w:r>
              <w:rPr>
                <w:rFonts w:ascii="Calibri" w:cs="Calibri" w:eastAsia="Calibri" w:hAnsi="Calibri"/>
                <w:color w:val="333333"/>
                <w:sz w:val="20"/>
                <w:szCs w:val="20"/>
              </w:rPr>
              <w:t xml:space="preserve">Journal Entries &amp; Month-End Close Support</w:t>
            </w:r>
          </w:p>
        </w:tc>
        <w:tc>
          <w:tcPr>
            <w:tcW w:type="dxa" w:w="4870"/>
            <w:shd w:fill="FFFFFF" w:val="clear"/>
            <w:tcMar>
              <w:top w:type="dxa" w:w="40"/>
              <w:left w:type="dxa" w:w="60"/>
              <w:bottom w:type="dxa" w:w="40"/>
              <w:right w:type="dxa" w:w="60"/>
            </w:tcMar>
          </w:tcPr>
          <w:p>
            <w:pPr>
              <w:pStyle w:val="ListParagraph"/>
              <w:numPr>
                <w:ilvl w:val="0"/>
                <w:numId w:val="2"/>
              </w:numPr>
            </w:pPr>
            <w:r>
              <w:rPr>
                <w:rFonts w:ascii="Calibri" w:cs="Calibri" w:eastAsia="Calibri" w:hAnsi="Calibri"/>
                <w:color w:val="333333"/>
                <w:sz w:val="20"/>
                <w:szCs w:val="20"/>
              </w:rPr>
              <w:t xml:space="preserve">Bi-Weekly &amp; Monthly Payroll Processing</w:t>
            </w:r>
          </w:p>
        </w:tc>
      </w:tr>
      <w:tr>
        <w:tc>
          <w:tcPr>
            <w:tcW w:type="dxa" w:w="4870"/>
            <w:shd w:fill="FFFFFF" w:val="clear"/>
            <w:tcMar>
              <w:top w:type="dxa" w:w="40"/>
              <w:left w:type="dxa" w:w="60"/>
              <w:bottom w:type="dxa" w:w="40"/>
              <w:right w:type="dxa" w:w="60"/>
            </w:tcMar>
          </w:tcPr>
          <w:p>
            <w:pPr>
              <w:pStyle w:val="ListParagraph"/>
              <w:numPr>
                <w:ilvl w:val="0"/>
                <w:numId w:val="2"/>
              </w:numPr>
            </w:pPr>
            <w:r>
              <w:rPr>
                <w:rFonts w:ascii="Calibri" w:cs="Calibri" w:eastAsia="Calibri" w:hAnsi="Calibri"/>
                <w:color w:val="333333"/>
                <w:sz w:val="20"/>
                <w:szCs w:val="20"/>
              </w:rPr>
              <w:t xml:space="preserve">QuickBooks &amp; MS Office Suite</w:t>
            </w:r>
          </w:p>
        </w:tc>
        <w:tc>
          <w:tcPr>
            <w:tcW w:type="dxa" w:w="4870"/>
            <w:shd w:fill="FFFFFF" w:val="clear"/>
            <w:tcMar>
              <w:top w:type="dxa" w:w="40"/>
              <w:left w:type="dxa" w:w="60"/>
              <w:bottom w:type="dxa" w:w="40"/>
              <w:right w:type="dxa" w:w="60"/>
            </w:tcMar>
          </w:tcPr>
          <w:p>
            <w:pPr>
              <w:pStyle w:val="ListParagraph"/>
              <w:numPr>
                <w:ilvl w:val="0"/>
                <w:numId w:val="2"/>
              </w:numPr>
            </w:pPr>
            <w:r>
              <w:rPr>
                <w:rFonts w:ascii="Calibri" w:cs="Calibri" w:eastAsia="Calibri" w:hAnsi="Calibri"/>
                <w:color w:val="333333"/>
                <w:sz w:val="20"/>
                <w:szCs w:val="20"/>
              </w:rPr>
              <w:t xml:space="preserve">Vendor Management &amp; Invoice Resolution</w:t>
            </w:r>
          </w:p>
        </w:tc>
      </w:tr>
      <w:tr>
        <w:tc>
          <w:tcPr>
            <w:tcW w:type="dxa" w:w="4870"/>
            <w:shd w:fill="FFFFFF" w:val="clear"/>
            <w:tcMar>
              <w:top w:type="dxa" w:w="40"/>
              <w:left w:type="dxa" w:w="60"/>
              <w:bottom w:type="dxa" w:w="40"/>
              <w:right w:type="dxa" w:w="60"/>
            </w:tcMar>
          </w:tcPr>
          <w:p>
            <w:pPr>
              <w:pStyle w:val="ListParagraph"/>
              <w:numPr>
                <w:ilvl w:val="0"/>
                <w:numId w:val="2"/>
              </w:numPr>
            </w:pPr>
            <w:r>
              <w:rPr>
                <w:rFonts w:ascii="Calibri" w:cs="Calibri" w:eastAsia="Calibri" w:hAnsi="Calibri"/>
                <w:color w:val="333333"/>
                <w:sz w:val="20"/>
                <w:szCs w:val="20"/>
              </w:rPr>
              <w:t xml:space="preserve">Tax Documentation (W2, W4, W9, 1099)</w:t>
            </w:r>
          </w:p>
        </w:tc>
        <w:tc>
          <w:tcPr>
            <w:tcW w:type="dxa" w:w="4870"/>
            <w:shd w:fill="FFFFFF" w:val="clear"/>
            <w:tcMar>
              <w:top w:type="dxa" w:w="40"/>
              <w:left w:type="dxa" w:w="60"/>
              <w:bottom w:type="dxa" w:w="40"/>
              <w:right w:type="dxa" w:w="60"/>
            </w:tcMar>
          </w:tcPr>
          <w:p>
            <w:pPr>
              <w:pStyle w:val="ListParagraph"/>
              <w:numPr>
                <w:ilvl w:val="0"/>
                <w:numId w:val="2"/>
              </w:numPr>
            </w:pPr>
            <w:r>
              <w:rPr>
                <w:rFonts w:ascii="Calibri" w:cs="Calibri" w:eastAsia="Calibri" w:hAnsi="Calibri"/>
                <w:color w:val="333333"/>
                <w:sz w:val="20"/>
                <w:szCs w:val="20"/>
              </w:rPr>
              <w:t xml:space="preserve">Discrepancy Investigation &amp; Resolution</w:t>
            </w:r>
          </w:p>
        </w:tc>
      </w:tr>
    </w:tbl>
    <w:p>
      <w:pPr>
        <w:pBdr>
          <w:bottom w:val="single" w:color="1F3864" w:sz="4" w:space="2"/>
        </w:pBdr>
        <w:spacing w:after="60" w:before="220"/>
      </w:pPr>
      <w:r>
        <w:rPr>
          <w:rFonts w:ascii="Calibri" w:cs="Calibri" w:eastAsia="Calibri" w:hAnsi="Calibri"/>
          <w:b/>
          <w:bCs/>
          <w:color w:val="1F3864"/>
          <w:sz w:val="21"/>
          <w:szCs w:val="21"/>
        </w:rPr>
        <w:t xml:space="preserve">PROFESSIONAL EXPERIENCE</w:t>
      </w:r>
    </w:p>
    <w:p>
      <w:pPr>
        <w:tabs>
          <w:tab w:val="right" w:pos="9360"/>
        </w:tabs>
        <w:spacing w:after="20" w:before="160"/>
      </w:pPr>
      <w:r>
        <w:rPr>
          <w:rFonts w:ascii="Calibri" w:cs="Calibri" w:eastAsia="Calibri" w:hAnsi="Calibri"/>
          <w:b/>
          <w:bCs/>
          <w:color w:val="1F3864"/>
          <w:sz w:val="21"/>
          <w:szCs w:val="21"/>
        </w:rPr>
        <w:t xml:space="preserve">Office Assistant &amp; Bookkeeper — Accounting Tax Masters, Norcross, GA</w:t>
      </w:r>
      <w:r>
        <w:rPr>
          <w:rFonts w:ascii="Calibri" w:cs="Calibri" w:eastAsia="Calibri" w:hAnsi="Calibri"/>
          <w:i/>
          <w:iCs/>
          <w:color w:val="333333"/>
          <w:sz w:val="19"/>
          <w:szCs w:val="19"/>
        </w:rPr>
        <w:t xml:space="preserve">	Sep 2020 – Nov 2025</w:t>
      </w:r>
    </w:p>
    <w:p>
      <w:pPr>
        <w:pStyle w:val="ListParagraph"/>
        <w:numPr>
          <w:ilvl w:val="0"/>
          <w:numId w:val="2"/>
        </w:numPr>
        <w:spacing w:after="40"/>
      </w:pPr>
      <w:r>
        <w:rPr>
          <w:rFonts w:ascii="Calibri" w:cs="Calibri" w:eastAsia="Calibri" w:hAnsi="Calibri"/>
          <w:color w:val="333333"/>
          <w:sz w:val="20"/>
          <w:szCs w:val="20"/>
        </w:rPr>
        <w:t xml:space="preserve">Maintained and reconciled general ledger accounts, including bank and credit card reconciliations, using QuickBooks.</w:t>
      </w:r>
    </w:p>
    <w:p>
      <w:pPr>
        <w:pStyle w:val="ListParagraph"/>
        <w:numPr>
          <w:ilvl w:val="0"/>
          <w:numId w:val="2"/>
        </w:numPr>
        <w:spacing w:after="40"/>
      </w:pPr>
      <w:r>
        <w:rPr>
          <w:rFonts w:ascii="Calibri" w:cs="Calibri" w:eastAsia="Calibri" w:hAnsi="Calibri"/>
          <w:color w:val="333333"/>
          <w:sz w:val="20"/>
          <w:szCs w:val="20"/>
        </w:rPr>
        <w:t xml:space="preserve">Investigated and resolved discrepancies in accounts, invoices, and vendor billing to keep records accurate and audit-ready.</w:t>
      </w:r>
    </w:p>
    <w:p>
      <w:pPr>
        <w:pStyle w:val="ListParagraph"/>
        <w:numPr>
          <w:ilvl w:val="0"/>
          <w:numId w:val="2"/>
        </w:numPr>
        <w:spacing w:after="40"/>
      </w:pPr>
      <w:r>
        <w:rPr>
          <w:rFonts w:ascii="Calibri" w:cs="Calibri" w:eastAsia="Calibri" w:hAnsi="Calibri"/>
          <w:color w:val="333333"/>
          <w:sz w:val="20"/>
          <w:szCs w:val="20"/>
        </w:rPr>
        <w:t xml:space="preserve">Processed bi-weekly and monthly payroll for employees, ensuring accuracy and on-time disbursements.</w:t>
      </w:r>
    </w:p>
    <w:p>
      <w:pPr>
        <w:pStyle w:val="ListParagraph"/>
        <w:numPr>
          <w:ilvl w:val="0"/>
          <w:numId w:val="2"/>
        </w:numPr>
        <w:spacing w:after="40"/>
      </w:pPr>
      <w:r>
        <w:rPr>
          <w:rFonts w:ascii="Calibri" w:cs="Calibri" w:eastAsia="Calibri" w:hAnsi="Calibri"/>
          <w:color w:val="333333"/>
          <w:sz w:val="20"/>
          <w:szCs w:val="20"/>
        </w:rPr>
        <w:t xml:space="preserve">Prepared customer invoices from consultant timesheets, tracked payments, and followed up on outstanding balances.</w:t>
      </w:r>
    </w:p>
    <w:p>
      <w:pPr>
        <w:pStyle w:val="ListParagraph"/>
        <w:numPr>
          <w:ilvl w:val="0"/>
          <w:numId w:val="2"/>
        </w:numPr>
        <w:spacing w:after="40"/>
      </w:pPr>
      <w:r>
        <w:rPr>
          <w:rFonts w:ascii="Calibri" w:cs="Calibri" w:eastAsia="Calibri" w:hAnsi="Calibri"/>
          <w:color w:val="333333"/>
          <w:sz w:val="20"/>
          <w:szCs w:val="20"/>
        </w:rPr>
        <w:t xml:space="preserve">Compiled data for quarterly and annual tax filings and filed corporate taxes after reviewing forms with the CPA.</w:t>
      </w:r>
    </w:p>
    <w:p>
      <w:pPr>
        <w:pStyle w:val="ListParagraph"/>
        <w:numPr>
          <w:ilvl w:val="0"/>
          <w:numId w:val="2"/>
        </w:numPr>
        <w:spacing w:after="40"/>
      </w:pPr>
      <w:r>
        <w:rPr>
          <w:rFonts w:ascii="Calibri" w:cs="Calibri" w:eastAsia="Calibri" w:hAnsi="Calibri"/>
          <w:color w:val="333333"/>
          <w:sz w:val="20"/>
          <w:szCs w:val="20"/>
        </w:rPr>
        <w:t xml:space="preserve">Managed W-4, W-9, W-2, and 1099 documentation for employees and contractors.</w:t>
      </w:r>
    </w:p>
    <w:p>
      <w:pPr>
        <w:pStyle w:val="ListParagraph"/>
        <w:numPr>
          <w:ilvl w:val="0"/>
          <w:numId w:val="2"/>
        </w:numPr>
        <w:spacing w:after="40"/>
      </w:pPr>
      <w:r>
        <w:rPr>
          <w:rFonts w:ascii="Calibri" w:cs="Calibri" w:eastAsia="Calibri" w:hAnsi="Calibri"/>
          <w:color w:val="333333"/>
          <w:sz w:val="20"/>
          <w:szCs w:val="20"/>
        </w:rPr>
        <w:t xml:space="preserve">Coordinated with consultants, attorneys, and business owners on legal/compliance documentation and onboarding.</w:t>
      </w:r>
    </w:p>
    <w:p>
      <w:pPr>
        <w:pStyle w:val="ListParagraph"/>
        <w:numPr>
          <w:ilvl w:val="0"/>
          <w:numId w:val="2"/>
        </w:numPr>
        <w:spacing w:after="40"/>
      </w:pPr>
      <w:r>
        <w:rPr>
          <w:rFonts w:ascii="Calibri" w:cs="Calibri" w:eastAsia="Calibri" w:hAnsi="Calibri"/>
          <w:color w:val="333333"/>
          <w:sz w:val="20"/>
          <w:szCs w:val="20"/>
        </w:rPr>
        <w:t xml:space="preserve">Oversaw office administration, including mail/fax triage, supplies, and equipment upkeep, to support smooth daily operations.</w:t>
      </w:r>
    </w:p>
    <w:p>
      <w:pPr>
        <w:tabs>
          <w:tab w:val="right" w:pos="9360"/>
        </w:tabs>
        <w:spacing w:after="20" w:before="160"/>
      </w:pPr>
      <w:r>
        <w:rPr>
          <w:rFonts w:ascii="Calibri" w:cs="Calibri" w:eastAsia="Calibri" w:hAnsi="Calibri"/>
          <w:b/>
          <w:bCs/>
          <w:color w:val="1F3864"/>
          <w:sz w:val="21"/>
          <w:szCs w:val="21"/>
        </w:rPr>
        <w:t xml:space="preserve">Office Assistant &amp; Bookkeeper — A1 Homecare, Roswell, GA</w:t>
      </w:r>
      <w:r>
        <w:rPr>
          <w:rFonts w:ascii="Calibri" w:cs="Calibri" w:eastAsia="Calibri" w:hAnsi="Calibri"/>
          <w:i/>
          <w:iCs/>
          <w:color w:val="333333"/>
          <w:sz w:val="19"/>
          <w:szCs w:val="19"/>
        </w:rPr>
        <w:t xml:space="preserve">	Sep 2019 – Sep 2020</w:t>
      </w:r>
    </w:p>
    <w:p>
      <w:pPr>
        <w:pStyle w:val="ListParagraph"/>
        <w:numPr>
          <w:ilvl w:val="0"/>
          <w:numId w:val="2"/>
        </w:numPr>
        <w:spacing w:after="40"/>
      </w:pPr>
      <w:r>
        <w:rPr>
          <w:rFonts w:ascii="Calibri" w:cs="Calibri" w:eastAsia="Calibri" w:hAnsi="Calibri"/>
          <w:color w:val="333333"/>
          <w:sz w:val="20"/>
          <w:szCs w:val="20"/>
        </w:rPr>
        <w:t xml:space="preserve">Managed full-cycle bookkeeping, including bank and credit card reconciliations and accounts payable/receivable in QuickBooks.</w:t>
      </w:r>
    </w:p>
    <w:p>
      <w:pPr>
        <w:pStyle w:val="ListParagraph"/>
        <w:numPr>
          <w:ilvl w:val="0"/>
          <w:numId w:val="2"/>
        </w:numPr>
        <w:spacing w:after="40"/>
      </w:pPr>
      <w:r>
        <w:rPr>
          <w:rFonts w:ascii="Calibri" w:cs="Calibri" w:eastAsia="Calibri" w:hAnsi="Calibri"/>
          <w:color w:val="333333"/>
          <w:sz w:val="20"/>
          <w:szCs w:val="20"/>
        </w:rPr>
        <w:t xml:space="preserve">Processed bi-weekly and monthly payroll and maintained accurate payroll records.</w:t>
      </w:r>
    </w:p>
    <w:p>
      <w:pPr>
        <w:pStyle w:val="ListParagraph"/>
        <w:numPr>
          <w:ilvl w:val="0"/>
          <w:numId w:val="2"/>
        </w:numPr>
        <w:spacing w:after="40"/>
      </w:pPr>
      <w:r>
        <w:rPr>
          <w:rFonts w:ascii="Calibri" w:cs="Calibri" w:eastAsia="Calibri" w:hAnsi="Calibri"/>
          <w:color w:val="333333"/>
          <w:sz w:val="20"/>
          <w:szCs w:val="20"/>
        </w:rPr>
        <w:t xml:space="preserve">Prepared and tracked customer invoices based on consultant timesheets; followed up on collections.</w:t>
      </w:r>
    </w:p>
    <w:p>
      <w:pPr>
        <w:pStyle w:val="ListParagraph"/>
        <w:numPr>
          <w:ilvl w:val="0"/>
          <w:numId w:val="2"/>
        </w:numPr>
        <w:spacing w:after="40"/>
      </w:pPr>
      <w:r>
        <w:rPr>
          <w:rFonts w:ascii="Calibri" w:cs="Calibri" w:eastAsia="Calibri" w:hAnsi="Calibri"/>
          <w:color w:val="333333"/>
          <w:sz w:val="20"/>
          <w:szCs w:val="20"/>
        </w:rPr>
        <w:t xml:space="preserve">Provided supporting data for quarterly/annual tax filings and coordinated corporate tax filing with the CPA.</w:t>
      </w:r>
    </w:p>
    <w:p>
      <w:pPr>
        <w:pStyle w:val="ListParagraph"/>
        <w:numPr>
          <w:ilvl w:val="0"/>
          <w:numId w:val="2"/>
        </w:numPr>
        <w:spacing w:after="40"/>
      </w:pPr>
      <w:r>
        <w:rPr>
          <w:rFonts w:ascii="Calibri" w:cs="Calibri" w:eastAsia="Calibri" w:hAnsi="Calibri"/>
          <w:color w:val="333333"/>
          <w:sz w:val="20"/>
          <w:szCs w:val="20"/>
        </w:rPr>
        <w:t xml:space="preserve">Handled vendor invoicing, billing discrepancy resolution, and onboarding documentation for new consultants.</w:t>
      </w:r>
    </w:p>
    <w:p>
      <w:pPr>
        <w:tabs>
          <w:tab w:val="right" w:pos="9360"/>
        </w:tabs>
        <w:spacing w:after="20" w:before="160"/>
      </w:pPr>
      <w:r>
        <w:rPr>
          <w:rFonts w:ascii="Calibri" w:cs="Calibri" w:eastAsia="Calibri" w:hAnsi="Calibri"/>
          <w:b/>
          <w:bCs/>
          <w:color w:val="1F3864"/>
          <w:sz w:val="21"/>
          <w:szCs w:val="21"/>
        </w:rPr>
        <w:t xml:space="preserve">Office Assistant &amp; Bookkeeper — KR Elixir Inc., Alpharetta, GA</w:t>
      </w:r>
      <w:r>
        <w:rPr>
          <w:rFonts w:ascii="Calibri" w:cs="Calibri" w:eastAsia="Calibri" w:hAnsi="Calibri"/>
          <w:i/>
          <w:iCs/>
          <w:color w:val="333333"/>
          <w:sz w:val="19"/>
          <w:szCs w:val="19"/>
        </w:rPr>
        <w:t xml:space="preserve">	Sep 2016 – Jun 2018</w:t>
      </w:r>
    </w:p>
    <w:p>
      <w:pPr>
        <w:pStyle w:val="ListParagraph"/>
        <w:numPr>
          <w:ilvl w:val="0"/>
          <w:numId w:val="2"/>
        </w:numPr>
        <w:spacing w:after="40"/>
      </w:pPr>
      <w:r>
        <w:rPr>
          <w:rFonts w:ascii="Calibri" w:cs="Calibri" w:eastAsia="Calibri" w:hAnsi="Calibri"/>
          <w:color w:val="333333"/>
          <w:sz w:val="20"/>
          <w:szCs w:val="20"/>
        </w:rPr>
        <w:t xml:space="preserve">Managed full-cycle bookkeeping, including reconciliations and accounts payable/receivable using QuickBooks.</w:t>
      </w:r>
    </w:p>
    <w:p>
      <w:pPr>
        <w:pStyle w:val="ListParagraph"/>
        <w:numPr>
          <w:ilvl w:val="0"/>
          <w:numId w:val="2"/>
        </w:numPr>
        <w:spacing w:after="40"/>
      </w:pPr>
      <w:r>
        <w:rPr>
          <w:rFonts w:ascii="Calibri" w:cs="Calibri" w:eastAsia="Calibri" w:hAnsi="Calibri"/>
          <w:color w:val="333333"/>
          <w:sz w:val="20"/>
          <w:szCs w:val="20"/>
        </w:rPr>
        <w:t xml:space="preserve">Processed payroll, prepared customer invoices, and supported quarterly/annual tax filing preparation.</w:t>
      </w:r>
    </w:p>
    <w:p>
      <w:pPr>
        <w:pStyle w:val="ListParagraph"/>
        <w:numPr>
          <w:ilvl w:val="0"/>
          <w:numId w:val="2"/>
        </w:numPr>
        <w:spacing w:after="40"/>
      </w:pPr>
      <w:r>
        <w:rPr>
          <w:rFonts w:ascii="Calibri" w:cs="Calibri" w:eastAsia="Calibri" w:hAnsi="Calibri"/>
          <w:color w:val="333333"/>
          <w:sz w:val="20"/>
          <w:szCs w:val="20"/>
        </w:rPr>
        <w:t xml:space="preserve">Maintained vendor records, resolved billing discrepancies, and coordinated legal/compliance documentation with consultants and attorneys.</w:t>
      </w:r>
    </w:p>
    <w:p>
      <w:pPr>
        <w:pStyle w:val="ListParagraph"/>
        <w:numPr>
          <w:ilvl w:val="0"/>
          <w:numId w:val="2"/>
        </w:numPr>
        <w:spacing w:after="40"/>
      </w:pPr>
      <w:r>
        <w:rPr>
          <w:rFonts w:ascii="Calibri" w:cs="Calibri" w:eastAsia="Calibri" w:hAnsi="Calibri"/>
          <w:color w:val="333333"/>
          <w:sz w:val="20"/>
          <w:szCs w:val="20"/>
        </w:rPr>
        <w:t xml:space="preserve">Managed office administration, onboarding documentation, and day-to-day clerical operations.</w:t>
      </w:r>
    </w:p>
    <w:p>
      <w:pPr>
        <w:pBdr>
          <w:bottom w:val="single" w:color="1F3864" w:sz="4" w:space="2"/>
        </w:pBdr>
        <w:spacing w:after="60" w:before="220"/>
      </w:pPr>
      <w:r>
        <w:rPr>
          <w:rFonts w:ascii="Calibri" w:cs="Calibri" w:eastAsia="Calibri" w:hAnsi="Calibri"/>
          <w:b/>
          <w:bCs/>
          <w:color w:val="1F3864"/>
          <w:sz w:val="21"/>
          <w:szCs w:val="21"/>
        </w:rPr>
        <w:t xml:space="preserve">EDUCATION</w:t>
      </w:r>
    </w:p>
    <w:p>
      <w:pPr>
        <w:spacing w:after="60"/>
      </w:pPr>
      <w:r>
        <w:rPr>
          <w:rFonts w:ascii="Calibri" w:cs="Calibri" w:eastAsia="Calibri" w:hAnsi="Calibri"/>
          <w:color w:val="333333"/>
          <w:sz w:val="20"/>
          <w:szCs w:val="20"/>
        </w:rPr>
        <w:t xml:space="preserve">Bachelor's Degree</w:t>
      </w:r>
    </w:p>
    <w:p>
      <w:pPr>
        <w:pBdr>
          <w:bottom w:val="single" w:color="1F3864" w:sz="4" w:space="2"/>
        </w:pBdr>
        <w:spacing w:after="60" w:before="220"/>
      </w:pPr>
      <w:r>
        <w:rPr>
          <w:rFonts w:ascii="Calibri" w:cs="Calibri" w:eastAsia="Calibri" w:hAnsi="Calibri"/>
          <w:b/>
          <w:bCs/>
          <w:color w:val="1F3864"/>
          <w:sz w:val="21"/>
          <w:szCs w:val="21"/>
        </w:rPr>
        <w:t xml:space="preserve">ADDITIONAL SKILLS</w:t>
      </w:r>
    </w:p>
    <w:p>
      <w:pPr>
        <w:pStyle w:val="ListParagraph"/>
        <w:numPr>
          <w:ilvl w:val="0"/>
          <w:numId w:val="2"/>
        </w:numPr>
        <w:spacing w:after="40"/>
      </w:pPr>
      <w:r>
        <w:rPr>
          <w:rFonts w:ascii="Calibri" w:cs="Calibri" w:eastAsia="Calibri" w:hAnsi="Calibri"/>
          <w:color w:val="333333"/>
          <w:sz w:val="20"/>
          <w:szCs w:val="20"/>
        </w:rPr>
        <w:t xml:space="preserve">Proficient in MS Office (Word, Excel, PowerPoint, Outlook) and QuickBooks.</w:t>
      </w:r>
    </w:p>
    <w:p>
      <w:pPr>
        <w:pStyle w:val="ListParagraph"/>
        <w:numPr>
          <w:ilvl w:val="0"/>
          <w:numId w:val="2"/>
        </w:numPr>
        <w:spacing w:after="40"/>
      </w:pPr>
      <w:r>
        <w:rPr>
          <w:rFonts w:ascii="Calibri" w:cs="Calibri" w:eastAsia="Calibri" w:hAnsi="Calibri"/>
          <w:color w:val="333333"/>
          <w:sz w:val="20"/>
          <w:szCs w:val="20"/>
        </w:rPr>
        <w:t xml:space="preserve">Strong attention to detail, organization, and multitasking in fast-paced environments.</w:t>
      </w:r>
    </w:p>
    <w:p>
      <w:pPr>
        <w:pStyle w:val="ListParagraph"/>
        <w:numPr>
          <w:ilvl w:val="0"/>
          <w:numId w:val="2"/>
        </w:numPr>
        <w:spacing w:after="40"/>
      </w:pPr>
      <w:r>
        <w:rPr>
          <w:rFonts w:ascii="Calibri" w:cs="Calibri" w:eastAsia="Calibri" w:hAnsi="Calibri"/>
          <w:color w:val="333333"/>
          <w:sz w:val="20"/>
          <w:szCs w:val="20"/>
        </w:rPr>
        <w:t xml:space="preserve">Proven discretion and confidentiality when handling sensitive financial and business information.</w:t>
      </w:r>
    </w:p>
    <w:sectPr>
      <w:pgSz w:w="12240" w:h="15840"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2026-07-31T22:16:56.058Z</dcterms:created>
  <dcterms:modified xsi:type="dcterms:W3CDTF">2026-07-31T22:16:56.077Z</dcterms:modified>
</cp:coreProperties>
</file>

<file path=docProps/custom.xml><?xml version="1.0" encoding="utf-8"?>
<Properties xmlns="http://schemas.openxmlformats.org/officeDocument/2006/custom-properties" xmlns:vt="http://schemas.openxmlformats.org/officeDocument/2006/docPropsVTypes"/>
</file>